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F90" w:rsidRDefault="00345F90">
      <w:pPr>
        <w:pStyle w:val="NormalWeb"/>
        <w:spacing w:after="280"/>
        <w:ind w:left="720" w:hanging="720"/>
        <w:jc w:val="both"/>
        <w:rPr>
          <w:lang w:val="cy-GB"/>
        </w:rPr>
      </w:pPr>
    </w:p>
    <w:p w:rsidR="00345F90" w:rsidRDefault="00345F90">
      <w:pPr>
        <w:pStyle w:val="NormalWeb"/>
        <w:spacing w:before="280" w:after="280"/>
        <w:jc w:val="both"/>
        <w:rPr>
          <w:rFonts w:ascii="Tahoma" w:hAnsi="Tahoma" w:cs="Tahoma"/>
          <w:sz w:val="56"/>
          <w:szCs w:val="56"/>
          <w:lang w:val="cy-GB"/>
        </w:rPr>
      </w:pPr>
    </w:p>
    <w:p w:rsidR="00345F90" w:rsidRDefault="00435B00">
      <w:pPr>
        <w:pStyle w:val="NormalWeb"/>
        <w:spacing w:before="280" w:after="280"/>
        <w:jc w:val="center"/>
      </w:pPr>
      <w:r>
        <w:rPr>
          <w:rFonts w:ascii="Tahoma" w:hAnsi="Tahoma" w:cs="Tahoma"/>
          <w:sz w:val="44"/>
          <w:szCs w:val="44"/>
          <w:lang w:val="cy-GB"/>
        </w:rPr>
        <w:t xml:space="preserve">Rheolau 7 bob ochr </w:t>
      </w:r>
    </w:p>
    <w:p w:rsidR="00345F90" w:rsidRDefault="00435B00">
      <w:pPr>
        <w:pStyle w:val="NormalWeb"/>
        <w:spacing w:before="280" w:after="280"/>
        <w:jc w:val="center"/>
      </w:pPr>
      <w:r>
        <w:rPr>
          <w:rFonts w:ascii="Tahoma" w:hAnsi="Tahoma" w:cs="Tahoma"/>
          <w:sz w:val="44"/>
          <w:szCs w:val="44"/>
          <w:lang w:val="cy-GB"/>
        </w:rPr>
        <w:t>Chwaraeon y Brifysgol</w:t>
      </w:r>
      <w:bookmarkStart w:id="0" w:name="_GoBack"/>
      <w:bookmarkEnd w:id="0"/>
    </w:p>
    <w:p w:rsidR="00345F90" w:rsidRDefault="00435B00">
      <w:pPr>
        <w:pStyle w:val="NormalWeb"/>
        <w:spacing w:before="280" w:after="280"/>
        <w:ind w:left="720" w:hanging="720"/>
        <w:jc w:val="both"/>
        <w:rPr>
          <w:lang w:val="cy-GB"/>
        </w:rPr>
      </w:pPr>
      <w:r>
        <w:rPr>
          <w:lang w:val="cy-GB"/>
        </w:rPr>
        <w:t>1.</w:t>
      </w:r>
      <w:r>
        <w:rPr>
          <w:lang w:val="cy-GB"/>
        </w:rPr>
        <w:tab/>
        <w:t xml:space="preserve">Ni chaiff chwaraewr ei drosglwyddo i dîm arall os yw wedi chwarae dros ei dîm gwreiddiol.  Rhaid cyflwyno rhestrau timau i’r trefnydd cyn gêm gyntaf y gystadleuaeth. Rhaid i’r chwaraewyr fod yn aelodau o </w:t>
      </w:r>
      <w:r>
        <w:rPr>
          <w:lang w:val="cy-GB"/>
        </w:rPr>
        <w:t>staff neu’n fyfyrwyr yn y Brifysgol (oni bai fod trefnydd y gystadleuaeth yn cytuno fel arall).</w:t>
      </w:r>
    </w:p>
    <w:p w:rsidR="00345F90" w:rsidRDefault="00435B00">
      <w:pPr>
        <w:pStyle w:val="NormalWeb"/>
        <w:spacing w:before="280" w:after="280"/>
        <w:ind w:left="720" w:hanging="720"/>
        <w:jc w:val="both"/>
        <w:rPr>
          <w:lang w:val="cy-GB"/>
        </w:rPr>
      </w:pPr>
      <w:r>
        <w:rPr>
          <w:lang w:val="cy-GB"/>
        </w:rPr>
        <w:t>2.</w:t>
      </w:r>
      <w:r>
        <w:rPr>
          <w:lang w:val="cy-GB"/>
        </w:rPr>
        <w:tab/>
        <w:t>Bydd pob tîm yn chwarae dwy gêm y noson. Bydd y gemau yn para mwyafswm o 30 munud.</w:t>
      </w:r>
    </w:p>
    <w:p w:rsidR="00345F90" w:rsidRDefault="00435B00">
      <w:pPr>
        <w:pStyle w:val="NormalWeb"/>
        <w:spacing w:before="280" w:after="280"/>
        <w:ind w:left="720" w:hanging="720"/>
        <w:jc w:val="both"/>
        <w:rPr>
          <w:lang w:val="cy-GB"/>
        </w:rPr>
      </w:pPr>
      <w:r>
        <w:rPr>
          <w:lang w:val="cy-GB"/>
        </w:rPr>
        <w:t>3.</w:t>
      </w:r>
      <w:r>
        <w:rPr>
          <w:lang w:val="cy-GB"/>
        </w:rPr>
        <w:tab/>
        <w:t>Bydd mwyafswm o wyth tîm yn y gystadleuaeth. Bydd y gynghrair yn cael e</w:t>
      </w:r>
      <w:r>
        <w:rPr>
          <w:lang w:val="cy-GB"/>
        </w:rPr>
        <w:t>i chwarae mewn dull ‘Round Robin’ / ‘gartref’ ac ‘oddi cartref’. Dros saith wythnos bydd pob tîm yn chwarae yn erbyn ei gilydd ddwywaith. Yn ystod wythnos wyth cynhelir y gemau ailgyfle/terfynol.</w:t>
      </w:r>
    </w:p>
    <w:p w:rsidR="00345F90" w:rsidRDefault="00435B00">
      <w:pPr>
        <w:pStyle w:val="NormalWeb"/>
        <w:spacing w:before="280" w:after="280"/>
        <w:ind w:left="720" w:hanging="720"/>
        <w:jc w:val="both"/>
        <w:rPr>
          <w:lang w:val="cy-GB"/>
        </w:rPr>
      </w:pPr>
      <w:r>
        <w:rPr>
          <w:lang w:val="cy-GB"/>
        </w:rPr>
        <w:t>4.</w:t>
      </w:r>
      <w:r>
        <w:rPr>
          <w:lang w:val="cy-GB"/>
        </w:rPr>
        <w:tab/>
        <w:t>Bydd pob tîm yn darparu dyfarnwr ar gyfer gemau’r timau e</w:t>
      </w:r>
      <w:r>
        <w:rPr>
          <w:lang w:val="cy-GB"/>
        </w:rPr>
        <w:t>raill. Bydd manylion yn cael eu cynnwys yn yr amserlen. Bydd un pwynt yn cael ei dynnu os bydd tîm yn methu darparu dyfarnwr heb rybuddio’r trefnydd ymlaen llaw.</w:t>
      </w:r>
    </w:p>
    <w:p w:rsidR="00345F90" w:rsidRDefault="00435B00">
      <w:pPr>
        <w:pStyle w:val="NormalWeb"/>
        <w:spacing w:before="280" w:after="280"/>
        <w:ind w:left="720" w:hanging="720"/>
        <w:jc w:val="both"/>
        <w:rPr>
          <w:lang w:val="cy-GB"/>
        </w:rPr>
      </w:pPr>
      <w:r>
        <w:rPr>
          <w:lang w:val="cy-GB"/>
        </w:rPr>
        <w:t>5.</w:t>
      </w:r>
      <w:r>
        <w:rPr>
          <w:lang w:val="cy-GB"/>
        </w:rPr>
        <w:tab/>
        <w:t>Rhaid i’r dyfarnwyr hysbysu’r trefnwyr am y canlyniad a’r sgorwyr yn syth ar ôl y gêm. Rhod</w:t>
      </w:r>
      <w:r>
        <w:rPr>
          <w:lang w:val="cy-GB"/>
        </w:rPr>
        <w:t>dir tri phwynt am fuddugoliaeth ac un pwynt am gêm gyfartal. Os na fyddwch yn hysbysu’r trefnydd pwy sgoriodd eich goliau yr wythnos honno, ni fydd y goliau’n cael eu priodoli i unrhyw chwaraewr yn yr wythnosau canlynol.</w:t>
      </w:r>
    </w:p>
    <w:p w:rsidR="00345F90" w:rsidRDefault="00435B00">
      <w:pPr>
        <w:pStyle w:val="NormalWeb"/>
        <w:spacing w:before="280" w:after="280"/>
        <w:ind w:left="720" w:hanging="720"/>
        <w:jc w:val="both"/>
        <w:rPr>
          <w:lang w:val="cy-GB"/>
        </w:rPr>
      </w:pPr>
      <w:r>
        <w:rPr>
          <w:lang w:val="cy-GB"/>
        </w:rPr>
        <w:t>6.</w:t>
      </w:r>
      <w:r>
        <w:rPr>
          <w:lang w:val="cy-GB"/>
        </w:rPr>
        <w:tab/>
        <w:t>Ni fydd amserlen y gemau’n newid</w:t>
      </w:r>
      <w:r>
        <w:rPr>
          <w:lang w:val="cy-GB"/>
        </w:rPr>
        <w:t xml:space="preserve"> (oni bai fod y trefnwyr yn penderfynu fel arall). Bydd tîm yn cael buddugoliaeth o 3–0 pe na bai’r gwrthwynebwyr yn dod i chwarae’r gêm.</w:t>
      </w:r>
    </w:p>
    <w:p w:rsidR="00345F90" w:rsidRDefault="00435B00">
      <w:pPr>
        <w:pStyle w:val="NormalWeb"/>
        <w:spacing w:before="280" w:after="280"/>
        <w:ind w:left="720" w:hanging="720"/>
        <w:jc w:val="both"/>
        <w:rPr>
          <w:lang w:val="cy-GB"/>
        </w:rPr>
      </w:pPr>
      <w:r>
        <w:rPr>
          <w:lang w:val="cy-GB"/>
        </w:rPr>
        <w:t>7.</w:t>
      </w:r>
      <w:r>
        <w:rPr>
          <w:lang w:val="cy-GB"/>
        </w:rPr>
        <w:tab/>
        <w:t xml:space="preserve">Cynhelir gwrandawiad disgyblu ar ddiwedd gemau i benderfynu ar gosb i chwaraewyr fydd yn cael eu hanfon o’r cae yn </w:t>
      </w:r>
      <w:r>
        <w:rPr>
          <w:lang w:val="cy-GB"/>
        </w:rPr>
        <w:t xml:space="preserve">y gystadleuaeth. Y gosb leiaf fydd gwaharddiad am ddwy gêm a fydd yn dod i rym yn syth ar ôl i’r chwaraewr gael ei anfon o’r cae. Bydd y panel yn cynnwys y trefnydd, y dyfarnwr a dau gapten tîm diduedd. Bydd penderfyniad y Pwyllgor Disgyblu yn derfynol ac </w:t>
      </w:r>
      <w:r>
        <w:rPr>
          <w:lang w:val="cy-GB"/>
        </w:rPr>
        <w:t>ni fydd modd apelio.</w:t>
      </w:r>
    </w:p>
    <w:p w:rsidR="00345F90" w:rsidRDefault="00435B00">
      <w:pPr>
        <w:pStyle w:val="NormalWeb"/>
        <w:spacing w:before="280" w:after="280"/>
        <w:ind w:left="720" w:hanging="720"/>
        <w:jc w:val="both"/>
        <w:rPr>
          <w:lang w:val="cy-GB"/>
        </w:rPr>
      </w:pPr>
      <w:r>
        <w:rPr>
          <w:lang w:val="cy-GB"/>
        </w:rPr>
        <w:t>8.</w:t>
      </w:r>
      <w:r>
        <w:rPr>
          <w:lang w:val="cy-GB"/>
        </w:rPr>
        <w:tab/>
        <w:t>Ni fydd unigolion yn cael ‘sgrinio iechyd’ cyn chwarae ac fe’u cynghorir i gysylltu â’u meddyg teulu os ydynt yn dioddef o anaf neu afiechyd a allai gael ei effeithio drwy gymryd rhan.</w:t>
      </w:r>
    </w:p>
    <w:p w:rsidR="00345F90" w:rsidRDefault="00435B00">
      <w:pPr>
        <w:pStyle w:val="NormalWeb"/>
        <w:spacing w:before="280" w:after="280"/>
        <w:ind w:left="720" w:hanging="720"/>
        <w:jc w:val="both"/>
        <w:rPr>
          <w:lang w:val="cy-GB"/>
        </w:rPr>
      </w:pPr>
      <w:r>
        <w:rPr>
          <w:lang w:val="cy-GB"/>
        </w:rPr>
        <w:t>9.</w:t>
      </w:r>
      <w:r>
        <w:rPr>
          <w:lang w:val="cy-GB"/>
        </w:rPr>
        <w:tab/>
        <w:t>Bydd pob chwaraewr yn derbyn gwarant yswiria</w:t>
      </w:r>
      <w:r>
        <w:rPr>
          <w:lang w:val="cy-GB"/>
        </w:rPr>
        <w:t>nt damwain bersonol, mae’r manylion ar gael gan Reolwr Canolfan Chwaraeon Trefforest.</w:t>
      </w:r>
    </w:p>
    <w:p w:rsidR="00345F90" w:rsidRDefault="00435B00">
      <w:pPr>
        <w:pStyle w:val="NormalWeb"/>
        <w:spacing w:before="280" w:after="280"/>
        <w:jc w:val="both"/>
        <w:rPr>
          <w:lang w:val="cy-GB"/>
        </w:rPr>
      </w:pPr>
      <w:r>
        <w:rPr>
          <w:lang w:val="cy-GB"/>
        </w:rPr>
        <w:t>10.</w:t>
      </w:r>
      <w:r>
        <w:rPr>
          <w:lang w:val="cy-GB"/>
        </w:rPr>
        <w:tab/>
        <w:t xml:space="preserve">Sylwch fod capteiniaid y timau yn gyfrifol am sicrhau fod pob chwaraewr sy’n </w:t>
      </w:r>
      <w:r>
        <w:rPr>
          <w:lang w:val="cy-GB"/>
        </w:rPr>
        <w:tab/>
        <w:t>cynrychioli eu timau yn llwyr ymwybodol o’r rheoliadau cyn chwarae.</w:t>
      </w:r>
    </w:p>
    <w:p w:rsidR="00345F90" w:rsidRDefault="00345F90">
      <w:pPr>
        <w:pStyle w:val="NormalWeb"/>
        <w:spacing w:before="280" w:after="280"/>
        <w:jc w:val="both"/>
        <w:rPr>
          <w:lang w:val="cy-GB"/>
        </w:rPr>
      </w:pPr>
    </w:p>
    <w:p w:rsidR="00345F90" w:rsidRDefault="00345F90">
      <w:pPr>
        <w:pStyle w:val="NormalWeb"/>
        <w:spacing w:before="280" w:after="280"/>
        <w:jc w:val="both"/>
        <w:rPr>
          <w:lang w:val="cy-GB"/>
        </w:rPr>
      </w:pPr>
    </w:p>
    <w:p w:rsidR="00345F90" w:rsidRDefault="00345F90">
      <w:pPr>
        <w:pStyle w:val="NormalWeb"/>
        <w:spacing w:before="280" w:after="280"/>
        <w:jc w:val="both"/>
        <w:rPr>
          <w:lang w:val="cy-GB"/>
        </w:rPr>
      </w:pPr>
    </w:p>
    <w:p w:rsidR="00345F90" w:rsidRDefault="00345F90">
      <w:pPr>
        <w:pStyle w:val="NormalWeb"/>
        <w:spacing w:before="280" w:after="280"/>
        <w:jc w:val="both"/>
        <w:rPr>
          <w:lang w:val="cy-GB"/>
        </w:rPr>
      </w:pPr>
    </w:p>
    <w:p w:rsidR="00345F90" w:rsidRDefault="00345F90">
      <w:pPr>
        <w:pStyle w:val="NormalWeb"/>
        <w:spacing w:before="280" w:after="280"/>
        <w:jc w:val="both"/>
        <w:rPr>
          <w:lang w:val="cy-GB"/>
        </w:rPr>
      </w:pPr>
    </w:p>
    <w:p w:rsidR="00345F90" w:rsidRDefault="00435B00">
      <w:pPr>
        <w:pStyle w:val="NormalWeb"/>
        <w:spacing w:before="280" w:after="280"/>
        <w:ind w:left="720" w:hanging="720"/>
        <w:jc w:val="both"/>
        <w:rPr>
          <w:lang w:val="cy-GB"/>
        </w:rPr>
      </w:pPr>
      <w:r>
        <w:rPr>
          <w:lang w:val="cy-GB"/>
        </w:rPr>
        <w:t>11.</w:t>
      </w:r>
      <w:r>
        <w:rPr>
          <w:lang w:val="cy-GB"/>
        </w:rPr>
        <w:tab/>
        <w:t>Bydd y dyfa</w:t>
      </w:r>
      <w:r>
        <w:rPr>
          <w:lang w:val="cy-GB"/>
        </w:rPr>
        <w:t>rnwr yn gollwng y bêl rhwng dau chwaraewr i ddechrau’r gêm. Y gôl-geidwad fydd yn dechrau’r gêm yn dilyn gôl.</w:t>
      </w:r>
    </w:p>
    <w:p w:rsidR="00345F90" w:rsidRDefault="00435B00">
      <w:pPr>
        <w:pStyle w:val="NormalWeb"/>
        <w:spacing w:before="280" w:after="280"/>
        <w:ind w:left="720" w:hanging="720"/>
        <w:jc w:val="both"/>
        <w:rPr>
          <w:lang w:val="cy-GB"/>
        </w:rPr>
      </w:pPr>
      <w:r>
        <w:rPr>
          <w:lang w:val="cy-GB"/>
        </w:rPr>
        <w:t>12.</w:t>
      </w:r>
      <w:r>
        <w:rPr>
          <w:lang w:val="cy-GB"/>
        </w:rPr>
        <w:tab/>
        <w:t>Ni chaniateir i’r bêl fynd yn uwch nag uchder y trawst (oni bai o ganlyniad i arbediad gan gôl-geidwad).</w:t>
      </w:r>
    </w:p>
    <w:p w:rsidR="00345F90" w:rsidRDefault="00435B00">
      <w:pPr>
        <w:pStyle w:val="NormalWeb"/>
        <w:spacing w:before="280" w:after="280"/>
        <w:ind w:left="720" w:hanging="720"/>
        <w:jc w:val="both"/>
        <w:rPr>
          <w:lang w:val="cy-GB"/>
        </w:rPr>
      </w:pPr>
      <w:r>
        <w:rPr>
          <w:lang w:val="cy-GB"/>
        </w:rPr>
        <w:t>13.</w:t>
      </w:r>
      <w:r>
        <w:rPr>
          <w:lang w:val="cy-GB"/>
        </w:rPr>
        <w:tab/>
        <w:t>Ni fydd egwyl na newid y cyfeiria</w:t>
      </w:r>
      <w:r>
        <w:rPr>
          <w:lang w:val="cy-GB"/>
        </w:rPr>
        <w:t>d y bydd y timau’n chwarae. Y chwiban fydd yn dechrau ac yn gorffen pob gêm.</w:t>
      </w:r>
    </w:p>
    <w:p w:rsidR="00345F90" w:rsidRDefault="00435B00">
      <w:pPr>
        <w:pStyle w:val="NormalWeb"/>
        <w:spacing w:before="280" w:after="280"/>
        <w:ind w:left="720" w:hanging="720"/>
        <w:jc w:val="both"/>
        <w:rPr>
          <w:lang w:val="cy-GB"/>
        </w:rPr>
      </w:pPr>
      <w:r>
        <w:rPr>
          <w:lang w:val="cy-GB"/>
        </w:rPr>
        <w:t>14.</w:t>
      </w:r>
      <w:r>
        <w:rPr>
          <w:lang w:val="cy-GB"/>
        </w:rPr>
        <w:tab/>
        <w:t>Os bydd y bêl yn croesi’r ystlys bydd y gêm yn ailddechrau gyda chic i mewn o’r llinell.</w:t>
      </w:r>
    </w:p>
    <w:p w:rsidR="00345F90" w:rsidRDefault="00435B00">
      <w:pPr>
        <w:pStyle w:val="NormalWeb"/>
        <w:spacing w:before="280" w:after="280"/>
        <w:ind w:left="720" w:hanging="720"/>
        <w:jc w:val="both"/>
        <w:rPr>
          <w:lang w:val="cy-GB"/>
        </w:rPr>
      </w:pPr>
      <w:r>
        <w:rPr>
          <w:lang w:val="cy-GB"/>
        </w:rPr>
        <w:t>15.</w:t>
      </w:r>
      <w:r>
        <w:rPr>
          <w:lang w:val="cy-GB"/>
        </w:rPr>
        <w:tab/>
        <w:t xml:space="preserve">Dim ond y gôl-geidwad gaiff fod yng nghwrt y gôl. Ni chaniateir pasio’r bel yn ôl </w:t>
      </w:r>
      <w:r>
        <w:rPr>
          <w:lang w:val="cy-GB"/>
        </w:rPr>
        <w:t>i’r gôl-geidwad. Os bydd chwaraewr yn pasio’r bêl yn ôl i’r gôl-geidwad neu’n cicio’r bêl yn fwriadol i’w gwrt ei hun a thros linell y gôl – cic o’r smotyn.</w:t>
      </w:r>
    </w:p>
    <w:p w:rsidR="00345F90" w:rsidRDefault="00435B00">
      <w:pPr>
        <w:pStyle w:val="NormalWeb"/>
        <w:spacing w:before="280" w:after="280"/>
        <w:ind w:left="720" w:hanging="720"/>
        <w:jc w:val="both"/>
        <w:rPr>
          <w:lang w:val="cy-GB"/>
        </w:rPr>
      </w:pPr>
      <w:r>
        <w:rPr>
          <w:lang w:val="cy-GB"/>
        </w:rPr>
        <w:t>16.</w:t>
      </w:r>
      <w:r>
        <w:rPr>
          <w:lang w:val="cy-GB"/>
        </w:rPr>
        <w:tab/>
        <w:t>Ni chaniateir llithr-daclo. Canlyniad llithr-dacl fwriadol fydd cerdyn coch awtomatig (mae pend</w:t>
      </w:r>
      <w:r>
        <w:rPr>
          <w:lang w:val="cy-GB"/>
        </w:rPr>
        <w:t>erfyniad y dyfarnwr yn derfynol).</w:t>
      </w:r>
    </w:p>
    <w:p w:rsidR="00345F90" w:rsidRDefault="00435B00">
      <w:pPr>
        <w:pStyle w:val="NormalWeb"/>
        <w:spacing w:before="280" w:after="280"/>
        <w:ind w:left="720" w:hanging="720"/>
        <w:jc w:val="both"/>
        <w:rPr>
          <w:lang w:val="cy-GB"/>
        </w:rPr>
      </w:pPr>
      <w:r>
        <w:rPr>
          <w:lang w:val="cy-GB"/>
        </w:rPr>
        <w:t>17.</w:t>
      </w:r>
      <w:r>
        <w:rPr>
          <w:lang w:val="cy-GB"/>
        </w:rPr>
        <w:tab/>
        <w:t>Caniateir ciciau cornel yn unig os bydd y bêl yn croesi llinell y gôl rhwng ymyl y cwrt a’r lluman gornel. Os bydd y bêl yn croesi’r llinell rhwng y postyn ac ymyl y cwrt – cic gôl.</w:t>
      </w:r>
    </w:p>
    <w:p w:rsidR="00345F90" w:rsidRDefault="00435B00">
      <w:pPr>
        <w:pStyle w:val="NormalWeb"/>
        <w:spacing w:before="280" w:after="280"/>
        <w:ind w:left="720" w:hanging="720"/>
        <w:jc w:val="both"/>
        <w:rPr>
          <w:lang w:val="cy-GB"/>
        </w:rPr>
      </w:pPr>
      <w:r>
        <w:rPr>
          <w:lang w:val="cy-GB"/>
        </w:rPr>
        <w:t xml:space="preserve">18. </w:t>
      </w:r>
      <w:r>
        <w:rPr>
          <w:lang w:val="cy-GB"/>
        </w:rPr>
        <w:tab/>
        <w:t>Caniateir eilyddio ar unrhyw ad</w:t>
      </w:r>
      <w:r>
        <w:rPr>
          <w:lang w:val="cy-GB"/>
        </w:rPr>
        <w:t>eg yn ystod y gêm. Rhaid i chwaraewr adael/ddod ar y cae ar y llinell hanner.</w:t>
      </w:r>
    </w:p>
    <w:p w:rsidR="00345F90" w:rsidRDefault="00435B00">
      <w:pPr>
        <w:pStyle w:val="NormalWeb"/>
        <w:spacing w:before="280" w:after="280"/>
        <w:jc w:val="both"/>
        <w:rPr>
          <w:lang w:val="cy-GB"/>
        </w:rPr>
      </w:pPr>
      <w:r>
        <w:rPr>
          <w:lang w:val="cy-GB"/>
        </w:rPr>
        <w:t>19.</w:t>
      </w:r>
      <w:r>
        <w:rPr>
          <w:lang w:val="cy-GB"/>
        </w:rPr>
        <w:tab/>
        <w:t xml:space="preserve">Os bydd amddiffynnwr yn mynd i’r cwrt cosbi’n fwriadol – cic o’r smotyn. Os daw’r </w:t>
      </w:r>
      <w:r>
        <w:rPr>
          <w:lang w:val="cy-GB"/>
        </w:rPr>
        <w:tab/>
        <w:t>gôl-geidwad y tu allan i’r cwrt cosbi – cic o’r smotyn.</w:t>
      </w:r>
    </w:p>
    <w:p w:rsidR="00345F90" w:rsidRDefault="00435B00">
      <w:pPr>
        <w:pStyle w:val="NormalWeb"/>
        <w:spacing w:before="280" w:after="280"/>
        <w:ind w:left="720" w:hanging="720"/>
        <w:jc w:val="both"/>
        <w:rPr>
          <w:lang w:val="cy-GB"/>
        </w:rPr>
      </w:pPr>
      <w:r>
        <w:rPr>
          <w:lang w:val="cy-GB"/>
        </w:rPr>
        <w:t>20.</w:t>
      </w:r>
      <w:r>
        <w:rPr>
          <w:lang w:val="cy-GB"/>
        </w:rPr>
        <w:tab/>
        <w:t>Os bydd y gôl-geidwad yn fwriad</w:t>
      </w:r>
      <w:r>
        <w:rPr>
          <w:lang w:val="cy-GB"/>
        </w:rPr>
        <w:t>ol yn achosi i’r bêl fynd yn uwch nag uchder y pen – cic rydd uniongyrchol ar ymyl y cwrt (h.y. 2m o’r man y gadawodd y bêl y cwrt). Fel arall, yn achos arbediad bydd y gêm yn parhau.</w:t>
      </w:r>
    </w:p>
    <w:p w:rsidR="00345F90" w:rsidRDefault="00435B00">
      <w:pPr>
        <w:pStyle w:val="NormalWeb"/>
        <w:spacing w:before="280" w:after="280"/>
        <w:ind w:left="720" w:hanging="720"/>
        <w:jc w:val="both"/>
        <w:rPr>
          <w:lang w:val="cy-GB"/>
        </w:rPr>
      </w:pPr>
      <w:r>
        <w:rPr>
          <w:lang w:val="cy-GB"/>
        </w:rPr>
        <w:t>21.</w:t>
      </w:r>
      <w:r>
        <w:rPr>
          <w:lang w:val="cy-GB"/>
        </w:rPr>
        <w:tab/>
        <w:t>Bydd rheolau arferol pêl-droed yn weithredol yn cynnwys y drefn cerd</w:t>
      </w:r>
      <w:r>
        <w:rPr>
          <w:lang w:val="cy-GB"/>
        </w:rPr>
        <w:t>yn coch a melyn heblaw’r canlynol:</w:t>
      </w:r>
    </w:p>
    <w:p w:rsidR="00345F90" w:rsidRDefault="00435B00">
      <w:pPr>
        <w:numPr>
          <w:ilvl w:val="0"/>
          <w:numId w:val="1"/>
        </w:numPr>
        <w:spacing w:beforeAutospacing="1"/>
        <w:jc w:val="both"/>
        <w:rPr>
          <w:lang w:val="cy-GB"/>
        </w:rPr>
      </w:pPr>
      <w:r>
        <w:rPr>
          <w:lang w:val="cy-GB"/>
        </w:rPr>
        <w:t xml:space="preserve">Mae pob cic rydd yn uniongyrchol </w:t>
      </w:r>
    </w:p>
    <w:p w:rsidR="00345F90" w:rsidRDefault="00435B00">
      <w:pPr>
        <w:numPr>
          <w:ilvl w:val="0"/>
          <w:numId w:val="1"/>
        </w:numPr>
        <w:jc w:val="both"/>
        <w:rPr>
          <w:lang w:val="cy-GB"/>
        </w:rPr>
      </w:pPr>
      <w:r>
        <w:rPr>
          <w:lang w:val="cy-GB"/>
        </w:rPr>
        <w:t xml:space="preserve">Rhaid i gôl-geidwad rolio’r bêl allan ar ôl gafael ynddi – cic o’r smotyn </w:t>
      </w:r>
    </w:p>
    <w:p w:rsidR="00345F90" w:rsidRDefault="00435B00">
      <w:pPr>
        <w:numPr>
          <w:ilvl w:val="0"/>
          <w:numId w:val="1"/>
        </w:numPr>
        <w:jc w:val="both"/>
        <w:rPr>
          <w:lang w:val="cy-GB"/>
        </w:rPr>
      </w:pPr>
      <w:r>
        <w:rPr>
          <w:lang w:val="cy-GB"/>
        </w:rPr>
        <w:t xml:space="preserve">Rhaid i’r bêl fod o dan uchder y trawst </w:t>
      </w:r>
    </w:p>
    <w:p w:rsidR="00345F90" w:rsidRDefault="00435B00">
      <w:pPr>
        <w:numPr>
          <w:ilvl w:val="0"/>
          <w:numId w:val="1"/>
        </w:numPr>
        <w:jc w:val="both"/>
        <w:rPr>
          <w:lang w:val="cy-GB"/>
        </w:rPr>
      </w:pPr>
      <w:r>
        <w:rPr>
          <w:lang w:val="cy-GB"/>
        </w:rPr>
        <w:t xml:space="preserve">Dim camsefyll </w:t>
      </w:r>
    </w:p>
    <w:p w:rsidR="00345F90" w:rsidRDefault="00435B00">
      <w:pPr>
        <w:numPr>
          <w:ilvl w:val="0"/>
          <w:numId w:val="1"/>
        </w:numPr>
        <w:spacing w:afterAutospacing="1"/>
        <w:jc w:val="both"/>
        <w:rPr>
          <w:lang w:val="cy-GB"/>
        </w:rPr>
      </w:pPr>
      <w:r>
        <w:rPr>
          <w:lang w:val="cy-GB"/>
        </w:rPr>
        <w:t xml:space="preserve">Dim penio’r bêl </w:t>
      </w:r>
    </w:p>
    <w:p w:rsidR="00345F90" w:rsidRDefault="00345F90">
      <w:pPr>
        <w:spacing w:afterAutospacing="1"/>
        <w:jc w:val="both"/>
        <w:rPr>
          <w:lang w:val="cy-GB"/>
        </w:rPr>
      </w:pPr>
    </w:p>
    <w:p w:rsidR="00345F90" w:rsidRDefault="00345F90">
      <w:pPr>
        <w:spacing w:afterAutospacing="1"/>
        <w:jc w:val="both"/>
        <w:rPr>
          <w:lang w:val="cy-GB"/>
        </w:rPr>
      </w:pPr>
    </w:p>
    <w:p w:rsidR="00345F90" w:rsidRDefault="00345F90">
      <w:pPr>
        <w:spacing w:afterAutospacing="1"/>
        <w:jc w:val="both"/>
        <w:rPr>
          <w:lang w:val="cy-GB"/>
        </w:rPr>
      </w:pPr>
    </w:p>
    <w:p w:rsidR="00345F90" w:rsidRDefault="00345F90">
      <w:pPr>
        <w:spacing w:afterAutospacing="1"/>
        <w:jc w:val="both"/>
        <w:rPr>
          <w:lang w:val="cy-GB"/>
        </w:rPr>
      </w:pPr>
    </w:p>
    <w:p w:rsidR="00345F90" w:rsidRDefault="00345F90">
      <w:pPr>
        <w:spacing w:afterAutospacing="1"/>
        <w:jc w:val="both"/>
        <w:rPr>
          <w:lang w:val="cy-GB"/>
        </w:rPr>
      </w:pPr>
    </w:p>
    <w:p w:rsidR="00345F90" w:rsidRDefault="00435B00">
      <w:pPr>
        <w:pStyle w:val="NormalWeb"/>
        <w:spacing w:before="280" w:after="280"/>
        <w:ind w:left="720" w:hanging="720"/>
        <w:jc w:val="both"/>
        <w:rPr>
          <w:lang w:val="cy-GB"/>
        </w:rPr>
      </w:pPr>
      <w:r>
        <w:rPr>
          <w:lang w:val="cy-GB"/>
        </w:rPr>
        <w:t>22.</w:t>
      </w:r>
      <w:r>
        <w:rPr>
          <w:lang w:val="cy-GB"/>
        </w:rPr>
        <w:tab/>
        <w:t>Os bydd y chwiban olaf yn cael</w:t>
      </w:r>
      <w:r>
        <w:rPr>
          <w:lang w:val="cy-GB"/>
        </w:rPr>
        <w:t xml:space="preserve"> ei chwythu, a bod cic o’r smotyn wedi’i dyfarnu rhaid caniatáu i’r gic gael ei chymryd.</w:t>
      </w:r>
    </w:p>
    <w:p w:rsidR="00345F90" w:rsidRDefault="00345F90">
      <w:pPr>
        <w:jc w:val="both"/>
        <w:rPr>
          <w:lang w:val="cy-GB"/>
        </w:rPr>
      </w:pPr>
    </w:p>
    <w:p w:rsidR="00345F90" w:rsidRDefault="00345F90">
      <w:pPr>
        <w:jc w:val="both"/>
      </w:pPr>
    </w:p>
    <w:sectPr w:rsidR="00345F90">
      <w:headerReference w:type="default" r:id="rId8"/>
      <w:footerReference w:type="default" r:id="rId9"/>
      <w:pgSz w:w="11906" w:h="16838"/>
      <w:pgMar w:top="851" w:right="1126" w:bottom="1440" w:left="1701" w:header="142" w:footer="183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B00" w:rsidRDefault="00435B00">
      <w:r>
        <w:separator/>
      </w:r>
    </w:p>
  </w:endnote>
  <w:endnote w:type="continuationSeparator" w:id="0">
    <w:p w:rsidR="00435B00" w:rsidRDefault="0043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F90" w:rsidRDefault="00435B00">
    <w:pPr>
      <w:pStyle w:val="Footer"/>
      <w:tabs>
        <w:tab w:val="left" w:pos="284"/>
      </w:tabs>
      <w:ind w:left="4320" w:right="-1126" w:hanging="6021"/>
      <w:jc w:val="center"/>
    </w:pPr>
    <w:r>
      <w:rPr>
        <w:noProof/>
        <w:lang w:eastAsia="en-GB"/>
      </w:rPr>
      <w:drawing>
        <wp:inline distT="0" distB="0" distL="0" distR="0">
          <wp:extent cx="7642225" cy="400050"/>
          <wp:effectExtent l="0" t="0" r="0" b="0"/>
          <wp:docPr id="2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4222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B00" w:rsidRDefault="00435B00">
      <w:r>
        <w:separator/>
      </w:r>
    </w:p>
  </w:footnote>
  <w:footnote w:type="continuationSeparator" w:id="0">
    <w:p w:rsidR="00435B00" w:rsidRDefault="00435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F90" w:rsidRDefault="00435B00">
    <w:pPr>
      <w:pStyle w:val="Header"/>
      <w:ind w:left="-1800" w:right="-1766" w:firstLine="99"/>
    </w:pPr>
    <w:r>
      <w:rPr>
        <w:noProof/>
        <w:lang w:eastAsia="en-GB"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39370</wp:posOffset>
          </wp:positionV>
          <wp:extent cx="2066925" cy="2066925"/>
          <wp:effectExtent l="0" t="0" r="0" b="0"/>
          <wp:wrapNone/>
          <wp:docPr id="1" name="Picture 23" descr="C:\Users\khughes2\AppData\Local\Microsoft\Windows\Temporary Internet Files\Content.Outlook\X6B7GNS9\PD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3" descr="C:\Users\khughes2\AppData\Local\Microsoft\Windows\Temporary Internet Files\Content.Outlook\X6B7GNS9\PDC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2066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37552"/>
    <w:multiLevelType w:val="multilevel"/>
    <w:tmpl w:val="1DBC2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AF87EE5"/>
    <w:multiLevelType w:val="multilevel"/>
    <w:tmpl w:val="F3A0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7M9fFwiuxWju8A2XV3+0znq0rrGcaEYQFRcTSHqL5OXWYLjayhan/Our2NgPsNDDoW4jJCnle5l+KwpFcD9sWA==" w:salt="cRlAMUDs8sY7fwNgzITPD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90"/>
    <w:rsid w:val="00345F90"/>
    <w:rsid w:val="00435B00"/>
    <w:rsid w:val="00C3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232B62"/>
  <w15:docId w15:val="{69D4279A-47B1-4012-90F7-A5BBE636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46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47CB2"/>
    <w:pPr>
      <w:keepNext/>
      <w:outlineLvl w:val="0"/>
    </w:pPr>
    <w:rPr>
      <w:rFonts w:ascii="Arial Narrow" w:hAnsi="Arial Narrow"/>
      <w:sz w:val="32"/>
      <w:szCs w:val="20"/>
      <w:u w:val="double"/>
    </w:rPr>
  </w:style>
  <w:style w:type="paragraph" w:styleId="Heading2">
    <w:name w:val="heading 2"/>
    <w:basedOn w:val="Normal"/>
    <w:next w:val="Normal"/>
    <w:link w:val="Heading2Char"/>
    <w:qFormat/>
    <w:rsid w:val="00047CB2"/>
    <w:pPr>
      <w:keepNext/>
      <w:outlineLvl w:val="1"/>
    </w:pPr>
    <w:rPr>
      <w:rFonts w:ascii="Arial Narrow" w:hAnsi="Arial Narrow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qFormat/>
    <w:rsid w:val="00C61E5E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qFormat/>
    <w:rsid w:val="00047CB2"/>
    <w:rPr>
      <w:rFonts w:ascii="Arial Narrow" w:hAnsi="Arial Narrow"/>
      <w:sz w:val="32"/>
      <w:u w:val="double"/>
      <w:lang w:eastAsia="en-US"/>
    </w:rPr>
  </w:style>
  <w:style w:type="character" w:customStyle="1" w:styleId="Heading2Char">
    <w:name w:val="Heading 2 Char"/>
    <w:basedOn w:val="DefaultParagraphFont"/>
    <w:link w:val="Heading2"/>
    <w:qFormat/>
    <w:rsid w:val="00047CB2"/>
    <w:rPr>
      <w:rFonts w:ascii="Arial Narrow" w:hAnsi="Arial Narrow"/>
      <w:b/>
      <w:sz w:val="24"/>
      <w:lang w:eastAsia="en-US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cs="Symbol"/>
      <w:sz w:val="20"/>
    </w:rPr>
  </w:style>
  <w:style w:type="character" w:customStyle="1" w:styleId="ListLabel15">
    <w:name w:val="ListLabel 15"/>
    <w:qFormat/>
    <w:rPr>
      <w:rFonts w:cs="Courier New"/>
      <w:sz w:val="20"/>
    </w:rPr>
  </w:style>
  <w:style w:type="character" w:customStyle="1" w:styleId="ListLabel16">
    <w:name w:val="ListLabel 16"/>
    <w:qFormat/>
    <w:rPr>
      <w:rFonts w:cs="Wingdings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ListLabel19">
    <w:name w:val="ListLabel 19"/>
    <w:qFormat/>
    <w:rPr>
      <w:rFonts w:cs="Wingdings"/>
      <w:sz w:val="20"/>
    </w:rPr>
  </w:style>
  <w:style w:type="character" w:customStyle="1" w:styleId="ListLabel20">
    <w:name w:val="ListLabel 20"/>
    <w:qFormat/>
    <w:rPr>
      <w:rFonts w:cs="Wingdings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paragraph" w:customStyle="1" w:styleId="Pennawd">
    <w:name w:val="Pennawd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Mynegai">
    <w:name w:val="Mynegai"/>
    <w:basedOn w:val="Normal"/>
    <w:qFormat/>
    <w:pPr>
      <w:suppressLineNumbers/>
    </w:pPr>
    <w:rPr>
      <w:rFonts w:cs="Arial Unicode MS"/>
    </w:rPr>
  </w:style>
  <w:style w:type="paragraph" w:styleId="Header">
    <w:name w:val="header"/>
    <w:basedOn w:val="Normal"/>
    <w:rsid w:val="001B0E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B0E1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qFormat/>
    <w:rsid w:val="00C61E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914"/>
    <w:pPr>
      <w:ind w:left="720"/>
      <w:contextualSpacing/>
    </w:pPr>
  </w:style>
  <w:style w:type="paragraph" w:styleId="NormalWeb">
    <w:name w:val="Normal (Web)"/>
    <w:basedOn w:val="Normal"/>
    <w:qFormat/>
    <w:rsid w:val="0096568A"/>
    <w:pPr>
      <w:spacing w:beforeAutospacing="1" w:afterAutospacing="1"/>
    </w:pPr>
    <w:rPr>
      <w:lang w:eastAsia="en-GB"/>
    </w:rPr>
  </w:style>
  <w:style w:type="table" w:styleId="TableGrid">
    <w:name w:val="Table Grid"/>
    <w:basedOn w:val="TableNormal"/>
    <w:rsid w:val="00E87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6636B-3C61-4BDF-9E07-8914CB72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3558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Halling</dc:creator>
  <dc:description/>
  <cp:lastModifiedBy>Lewys Thomas</cp:lastModifiedBy>
  <cp:revision>2</cp:revision>
  <cp:lastPrinted>2017-12-08T10:26:00Z</cp:lastPrinted>
  <dcterms:created xsi:type="dcterms:W3CDTF">2019-10-07T07:52:00Z</dcterms:created>
  <dcterms:modified xsi:type="dcterms:W3CDTF">2019-10-07T07:52:00Z</dcterms:modified>
  <dc:language>cy-GB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University of Glamorgan</vt:lpwstr>
  </property>
  <property fmtid="{D5CDD505-2E9C-101B-9397-08002B2CF9AE}" pid="4" name="DocSecurity">
    <vt:i4>8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