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2F64" w:rsidTr="00912F64">
        <w:tc>
          <w:tcPr>
            <w:tcW w:w="10206" w:type="dxa"/>
          </w:tcPr>
          <w:p w:rsidR="00912F64" w:rsidRPr="00912F64" w:rsidRDefault="00912F64" w:rsidP="001F5A52">
            <w:pPr>
              <w:spacing w:before="165" w:after="165"/>
              <w:outlineLvl w:val="4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This document provides guidance when recruiting and selecting staff who will be engaged on research projects. 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Generic RD1s and role profiles</w:t>
            </w:r>
            <w:r w:rsidR="00561B65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for;</w:t>
            </w:r>
          </w:p>
          <w:p w:rsidR="00912F64" w:rsidRPr="00561B65" w:rsidRDefault="00912F64" w:rsidP="001F5A52">
            <w:pPr>
              <w:numPr>
                <w:ilvl w:val="0"/>
                <w:numId w:val="1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lang w:val="en" w:eastAsia="en-GB"/>
              </w:rPr>
            </w:pPr>
            <w:r w:rsidRPr="00561B65">
              <w:rPr>
                <w:rFonts w:ascii="Arial" w:eastAsia="Times New Roman" w:hAnsi="Arial" w:cs="Arial"/>
                <w:lang w:val="en" w:eastAsia="en-GB"/>
              </w:rPr>
              <w:t>Research Assistant - Generic Job Description</w:t>
            </w:r>
          </w:p>
          <w:p w:rsidR="00912F64" w:rsidRPr="00561B65" w:rsidRDefault="00912F64" w:rsidP="001F5A52">
            <w:pPr>
              <w:numPr>
                <w:ilvl w:val="0"/>
                <w:numId w:val="1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lang w:val="en" w:eastAsia="en-GB"/>
              </w:rPr>
            </w:pPr>
            <w:r w:rsidRPr="00561B65">
              <w:rPr>
                <w:rFonts w:ascii="Arial" w:eastAsia="Times New Roman" w:hAnsi="Arial" w:cs="Arial"/>
                <w:lang w:val="en" w:eastAsia="en-GB"/>
              </w:rPr>
              <w:t>Senior Research Assistant - Generic Job Description</w:t>
            </w:r>
          </w:p>
          <w:p w:rsidR="00912F64" w:rsidRPr="00561B65" w:rsidRDefault="00912F64" w:rsidP="001F5A52">
            <w:pPr>
              <w:numPr>
                <w:ilvl w:val="0"/>
                <w:numId w:val="1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lang w:val="en" w:eastAsia="en-GB"/>
              </w:rPr>
            </w:pPr>
            <w:r w:rsidRPr="00561B65">
              <w:rPr>
                <w:rFonts w:ascii="Arial" w:eastAsia="Times New Roman" w:hAnsi="Arial" w:cs="Arial"/>
                <w:lang w:val="en" w:eastAsia="en-GB"/>
              </w:rPr>
              <w:t>Research Fellow - Generic Job Description</w:t>
            </w:r>
          </w:p>
          <w:p w:rsidR="00912F64" w:rsidRPr="00561B65" w:rsidRDefault="00912F64" w:rsidP="001F5A52">
            <w:pPr>
              <w:numPr>
                <w:ilvl w:val="0"/>
                <w:numId w:val="1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lang w:val="en" w:eastAsia="en-GB"/>
              </w:rPr>
            </w:pPr>
            <w:r w:rsidRPr="00561B65">
              <w:rPr>
                <w:rFonts w:ascii="Arial" w:eastAsia="Times New Roman" w:hAnsi="Arial" w:cs="Arial"/>
                <w:lang w:val="en" w:eastAsia="en-GB"/>
              </w:rPr>
              <w:t>Senior Research Fellow - Generic Job Description</w:t>
            </w:r>
          </w:p>
          <w:p w:rsidR="00912F64" w:rsidRPr="00912F64" w:rsidRDefault="00912F64" w:rsidP="00561B65">
            <w:pPr>
              <w:spacing w:after="165"/>
              <w:rPr>
                <w:rFonts w:ascii="Arial" w:eastAsia="Times New Roman" w:hAnsi="Arial" w:cs="Arial"/>
                <w:color w:val="4F90C9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Information about all aspects of recruitment and selection including how to prepare for selection, the selection process, making the appointment and induction and probation. Advice on equality and diversity </w:t>
            </w:r>
            <w:proofErr w:type="gram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can also be found on</w:t>
            </w:r>
            <w:proofErr w:type="gram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</w:t>
            </w:r>
            <w:hyperlink r:id="rId7" w:history="1">
              <w:r w:rsidR="00561B65" w:rsidRPr="00B35A70">
                <w:rPr>
                  <w:rStyle w:val="Hyperlink"/>
                  <w:rFonts w:ascii="Arial" w:eastAsia="Times New Roman" w:hAnsi="Arial" w:cs="Arial"/>
                  <w:color w:val="0000FF"/>
                  <w:u w:val="single"/>
                  <w:lang w:val="en" w:eastAsia="en-GB"/>
                </w:rPr>
                <w:t>connect</w:t>
              </w:r>
            </w:hyperlink>
            <w:r w:rsidR="00561B65" w:rsidRPr="00B35A70">
              <w:rPr>
                <w:rFonts w:ascii="Arial" w:eastAsia="Times New Roman" w:hAnsi="Arial" w:cs="Arial"/>
                <w:color w:val="0000FF"/>
                <w:lang w:val="en" w:eastAsia="en-GB"/>
              </w:rPr>
              <w:t>.</w:t>
            </w:r>
          </w:p>
        </w:tc>
      </w:tr>
      <w:tr w:rsidR="00886343" w:rsidTr="00912F64">
        <w:tc>
          <w:tcPr>
            <w:tcW w:w="10206" w:type="dxa"/>
          </w:tcPr>
          <w:p w:rsidR="00886343" w:rsidRPr="00912F64" w:rsidRDefault="00886343" w:rsidP="001F5A52">
            <w:pPr>
              <w:spacing w:before="165" w:after="165"/>
              <w:outlineLvl w:val="4"/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</w:pPr>
          </w:p>
        </w:tc>
      </w:tr>
      <w:tr w:rsidR="00912F64" w:rsidTr="00912F64">
        <w:tc>
          <w:tcPr>
            <w:tcW w:w="10206" w:type="dxa"/>
            <w:shd w:val="clear" w:color="auto" w:fill="E7E6E6" w:themeFill="background2"/>
          </w:tcPr>
          <w:p w:rsidR="00912F64" w:rsidRPr="00912F64" w:rsidRDefault="00912F64" w:rsidP="001F5A52">
            <w:pPr>
              <w:outlineLvl w:val="4"/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</w:pPr>
            <w:bookmarkStart w:id="0" w:name="_GoBack"/>
            <w:bookmarkEnd w:id="0"/>
          </w:p>
        </w:tc>
      </w:tr>
      <w:tr w:rsidR="00912F64" w:rsidTr="00912F64">
        <w:tc>
          <w:tcPr>
            <w:tcW w:w="10206" w:type="dxa"/>
            <w:shd w:val="clear" w:color="auto" w:fill="auto"/>
          </w:tcPr>
          <w:p w:rsidR="00912F64" w:rsidRPr="00912F64" w:rsidRDefault="00912F64" w:rsidP="001F5A52">
            <w:pPr>
              <w:outlineLvl w:val="4"/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</w:pPr>
          </w:p>
        </w:tc>
      </w:tr>
      <w:tr w:rsidR="00912F64" w:rsidTr="00912F64">
        <w:tc>
          <w:tcPr>
            <w:tcW w:w="10206" w:type="dxa"/>
          </w:tcPr>
          <w:p w:rsidR="00912F64" w:rsidRPr="00912F64" w:rsidRDefault="00912F64" w:rsidP="001F5A52">
            <w:pPr>
              <w:outlineLvl w:val="4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 xml:space="preserve">Research Assistant (Grade D) 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 xml:space="preserve">Generic Job Description 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This job description </w:t>
            </w:r>
            <w:proofErr w:type="gram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is based</w:t>
            </w:r>
            <w:proofErr w:type="gram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on the Level 1 National Role Profile for the Research job family, as constructed during the implementation of the National Framework Agreement.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Job Purpose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undertake supervised research projects and provide support for researchers and research teams as required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Principal Duties and Responsibilities</w:t>
            </w:r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undertake supervised research which might include preparing, setting up, conducting and recording outcomes of projects, experiments, field work, </w:t>
            </w:r>
            <w:proofErr w:type="spell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etc</w:t>
            </w:r>
            <w:proofErr w:type="spellEnd"/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support other research staff, </w:t>
            </w:r>
            <w:proofErr w:type="spell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eg</w:t>
            </w:r>
            <w:proofErr w:type="spell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academic staff, Research Fellows, Principal Investigators, in the furtherance of their research and of specific projects</w:t>
            </w:r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assist with the preparation of reports and the presentation of information to research groups, steering groups, etc. – particularly progress reports</w:t>
            </w:r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write up own work and results of personal research</w:t>
            </w:r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</w:t>
            </w:r>
            <w:proofErr w:type="spell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analyse</w:t>
            </w:r>
            <w:proofErr w:type="spell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and interpret results of own research, making use of standard research methods and techniques</w:t>
            </w:r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contribute to the planning process of the research team</w:t>
            </w:r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assist, as required in the supervision of student projects</w:t>
            </w:r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contribute, if required to introductory courses and use of research tools and equipment.</w:t>
            </w:r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undertake continuous personal and professional development which contributes to knowledge and skills within the subject area</w:t>
            </w:r>
          </w:p>
          <w:p w:rsidR="00912F64" w:rsidRPr="00912F64" w:rsidRDefault="00912F64" w:rsidP="001F5A52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comply with University policies relating to health and safety, equality of opportunity and data management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Any other duties as maybe assigned from time to time commensurate with the grade</w:t>
            </w:r>
          </w:p>
        </w:tc>
      </w:tr>
      <w:tr w:rsidR="00912F64" w:rsidTr="00912F64">
        <w:tc>
          <w:tcPr>
            <w:tcW w:w="10206" w:type="dxa"/>
            <w:shd w:val="clear" w:color="auto" w:fill="auto"/>
          </w:tcPr>
          <w:p w:rsidR="00912F64" w:rsidRPr="00912F64" w:rsidRDefault="00912F64" w:rsidP="001F5A52">
            <w:pPr>
              <w:outlineLvl w:val="4"/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</w:pPr>
          </w:p>
        </w:tc>
      </w:tr>
    </w:tbl>
    <w:p w:rsidR="00912F64" w:rsidRDefault="00912F64" w:rsidP="001F5A52">
      <w:pPr>
        <w:spacing w:line="240" w:lineRule="auto"/>
      </w:pPr>
      <w:r>
        <w:br w:type="page"/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2F64" w:rsidTr="00912F64">
        <w:tc>
          <w:tcPr>
            <w:tcW w:w="10206" w:type="dxa"/>
          </w:tcPr>
          <w:p w:rsidR="00912F64" w:rsidRPr="00912F64" w:rsidRDefault="00912F64" w:rsidP="001F5A52">
            <w:pPr>
              <w:outlineLvl w:val="4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lastRenderedPageBreak/>
              <w:t>Senior Research Assistant (Grade E)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Generic Job Description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This job description </w:t>
            </w:r>
            <w:proofErr w:type="gram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is based</w:t>
            </w:r>
            <w:proofErr w:type="gram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on the Level 2 National Role Profile for the Research job family, as constructed during the implementation of the National Framework Agreement.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Job Purpose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undertake and contribute to research activity and provide support for researchers and research teams as required.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Principal Duties and Responsibilities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undertake research which might include preparing, setting up, conducting and recording outcomes of projects, experiments, field work, </w:t>
            </w:r>
            <w:proofErr w:type="spell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etc</w:t>
            </w:r>
            <w:proofErr w:type="spellEnd"/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conduct individual or collaborative research projects, including the development of personal/group objectives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prepare reports and present information to research groups, steering groups, etc. – particularly progress reports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write up own work and results of personal research with a view to publication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</w:t>
            </w:r>
            <w:proofErr w:type="spell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analyse</w:t>
            </w:r>
            <w:proofErr w:type="spell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and interpret results of own/group research, making use of standard and new research methods and techniques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contribute to the planning process of the research team, leading aspects as appropriate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participate in internal networks and research groups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assist, as required in the supervision of student projects and the development of student research skills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contribute, if required to introductory courses and use of research tools and equipment.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undertake continuous personal and professional development which contributes to knowledge and skills within the subject area</w:t>
            </w:r>
          </w:p>
          <w:p w:rsidR="00912F64" w:rsidRPr="00912F64" w:rsidRDefault="00912F64" w:rsidP="001F5A52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comply with University policies relating to health and safety, equality of opportunity and data management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Any other duties as maybe assigned from time to time commensurate with the grade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Step Changes include: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1. Not supervised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2. Moved from supporting to conducting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3. Remove assistance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4. Introduces publication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5. New methods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6.Talks about leading aspects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7. Enhanced involvement with students </w:t>
            </w:r>
          </w:p>
          <w:p w:rsidR="00912F64" w:rsidRDefault="00912F64" w:rsidP="001F5A52">
            <w:pPr>
              <w:spacing w:before="165" w:after="165"/>
              <w:outlineLvl w:val="4"/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</w:pPr>
          </w:p>
        </w:tc>
      </w:tr>
      <w:tr w:rsidR="00912F64" w:rsidTr="00912F64">
        <w:tc>
          <w:tcPr>
            <w:tcW w:w="10206" w:type="dxa"/>
            <w:shd w:val="clear" w:color="auto" w:fill="auto"/>
          </w:tcPr>
          <w:p w:rsidR="00912F64" w:rsidRPr="00912F64" w:rsidRDefault="00912F64" w:rsidP="001F5A52">
            <w:pPr>
              <w:outlineLvl w:val="4"/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</w:pPr>
          </w:p>
        </w:tc>
      </w:tr>
    </w:tbl>
    <w:p w:rsidR="00912F64" w:rsidRDefault="00912F64" w:rsidP="001F5A52">
      <w:pPr>
        <w:spacing w:line="240" w:lineRule="auto"/>
      </w:pPr>
      <w:r>
        <w:br w:type="page"/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2F64" w:rsidTr="00912F64">
        <w:tc>
          <w:tcPr>
            <w:tcW w:w="10206" w:type="dxa"/>
          </w:tcPr>
          <w:p w:rsidR="00912F64" w:rsidRPr="00912F64" w:rsidRDefault="00912F64" w:rsidP="001F5A52">
            <w:pPr>
              <w:outlineLvl w:val="4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lastRenderedPageBreak/>
              <w:t>Research Fellow (Grade F)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Generic Job Description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This job description </w:t>
            </w:r>
            <w:proofErr w:type="gram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is based</w:t>
            </w:r>
            <w:proofErr w:type="gram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on the Level 3 National Role Profile for the Research job family, as constructed during the implementation of the National Framework Agreement.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Job Purpose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undertake and where appropriate lead research projects, generating reports and publications based on research findings.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Principal Duties and Responsibilities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undertake and where appropriate lead research activities and projects within the Unit of Assessment, including the development of personal, group or collaborative objectives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prepare reports and present information to research groups, steering groups, etc. – particularly progress reports, overseeing similar activities of research assistants when appropriate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develop own or group work to publication stage, disseminating research findings through appropriate media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identify sources of funding and contribute to the process of application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manage research project budgets and other resources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be aware of, and at times lead upon research governance issues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</w:t>
            </w:r>
            <w:proofErr w:type="spell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analyse</w:t>
            </w:r>
            <w:proofErr w:type="spell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, evaluate and interpret results of own/group research, making use of standard and new research methods and techniques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As appropriate, to supervise the work of others, acting as line manager, or mentor, in order to support colleagues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contribute to the planning process of the research team, leading aspects as appropriate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participate in internal and external networks and collaborative groups, representing the University in a professional manner at all times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be involved, as required in learning and teaching programmes, the supervision of student projects (including </w:t>
            </w:r>
            <w:proofErr w:type="gram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post graduate</w:t>
            </w:r>
            <w:proofErr w:type="gram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research students) and the use of research tools and equipment.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undertake continuous personal and professional development which contributes to knowledge and skills within the subject area</w:t>
            </w:r>
          </w:p>
          <w:p w:rsidR="00912F64" w:rsidRPr="00912F64" w:rsidRDefault="00912F64" w:rsidP="001F5A52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comply with University policies relating to health and safety, equality of opportunity and data management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Any other duties as maybe assigned from time to time commensurate with the grade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Step Changes include: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1. Talks about leading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2. Overseeing role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3. Higher level publication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4</w:t>
            </w:r>
            <w:proofErr w:type="gram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./</w:t>
            </w:r>
            <w:proofErr w:type="gram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5. Talks about income and budgets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6. Introduces governance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8. Supervisory role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11. Increased involvement with students</w:t>
            </w:r>
          </w:p>
          <w:p w:rsidR="00912F64" w:rsidRDefault="00912F64" w:rsidP="001F5A52">
            <w:pPr>
              <w:spacing w:before="165" w:after="165"/>
              <w:outlineLvl w:val="4"/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</w:pPr>
          </w:p>
        </w:tc>
      </w:tr>
      <w:tr w:rsidR="00912F64" w:rsidTr="00912F64">
        <w:tc>
          <w:tcPr>
            <w:tcW w:w="10206" w:type="dxa"/>
            <w:shd w:val="clear" w:color="auto" w:fill="auto"/>
          </w:tcPr>
          <w:p w:rsidR="00912F64" w:rsidRDefault="00912F64" w:rsidP="001F5A52">
            <w:pPr>
              <w:outlineLvl w:val="4"/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</w:pPr>
          </w:p>
        </w:tc>
      </w:tr>
    </w:tbl>
    <w:p w:rsidR="00912F64" w:rsidRDefault="00912F64" w:rsidP="001F5A52">
      <w:pPr>
        <w:spacing w:line="240" w:lineRule="auto"/>
      </w:pPr>
      <w:r>
        <w:br w:type="page"/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2F64" w:rsidTr="00912F64">
        <w:tc>
          <w:tcPr>
            <w:tcW w:w="10206" w:type="dxa"/>
          </w:tcPr>
          <w:p w:rsidR="00912F64" w:rsidRPr="00912F64" w:rsidRDefault="00912F64" w:rsidP="001F5A52">
            <w:pPr>
              <w:outlineLvl w:val="4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lastRenderedPageBreak/>
              <w:t>Senior Research Fellow (Grade G)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Generic Job Description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This job description </w:t>
            </w:r>
            <w:proofErr w:type="gram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is based</w:t>
            </w:r>
            <w:proofErr w:type="gram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on the Level 4 National Role Profile for the Research job family, as constructed during the implementation of the National Framework Agreement.</w:t>
            </w:r>
          </w:p>
          <w:p w:rsidR="00912F64" w:rsidRPr="00912F64" w:rsidRDefault="00912F64" w:rsidP="001F5A52">
            <w:pPr>
              <w:spacing w:before="165" w:after="165"/>
              <w:outlineLvl w:val="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Job Purpose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lead and manage research projects and contribute to the research strategies of the Unit and the Faculty.</w:t>
            </w:r>
          </w:p>
          <w:p w:rsidR="00912F64" w:rsidRPr="00912F64" w:rsidRDefault="00912F64" w:rsidP="001F5A52">
            <w:pPr>
              <w:spacing w:before="165" w:after="165"/>
              <w:outlineLvl w:val="4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Principal Duties and Responsibilities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lead research activities and projects within the Unit of Assessment, including the development of personal, group or collaborative objectives, frequently acting as 'Principal Investigator’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develop proposals for significant research projects which increase the knowledge understanding and discovery of new explanations, insights, concepts and processes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develop own or group work, interpret research findings, generating high quality publications and disseminating results through appropriate media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contribute to the development of research strategies within the </w:t>
            </w:r>
            <w:proofErr w:type="spell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UoA</w:t>
            </w:r>
            <w:proofErr w:type="spell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/Faculty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prepare reports and present information to research groups, steering groups, etc. – particularly progress reports, overseeing similar activities of research assistants when appropriate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identify sources of funding and lead the process of application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manage research project budgets and other resources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lead upon research governance issues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line manage and support colleagues working in the </w:t>
            </w:r>
            <w:proofErr w:type="spell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UoA</w:t>
            </w:r>
            <w:proofErr w:type="spell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as appropriate, contributing to their development through the appraisal scheme, mentorship and coaching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lead the planning process of the research team, including the generation of ideas for investment and application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To lead and develop internal and external networks, and collaborative groups, representing the University in a professional manner at all times, including links with professional bodies, research funding streams, </w:t>
            </w:r>
            <w:proofErr w:type="spell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etc</w:t>
            </w:r>
            <w:proofErr w:type="spellEnd"/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supervise post graduate research students and be involved in teaching programmes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undertake continuous personal and professional development which contributes to knowledge and skills within the subject area</w:t>
            </w:r>
          </w:p>
          <w:p w:rsidR="00912F64" w:rsidRPr="00912F64" w:rsidRDefault="00912F64" w:rsidP="001F5A52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To comply with University policies relating to health and safety, equality of opportunity and data management</w:t>
            </w:r>
          </w:p>
          <w:p w:rsidR="00912F64" w:rsidRPr="00912F64" w:rsidRDefault="00912F64" w:rsidP="001F5A52">
            <w:pPr>
              <w:spacing w:after="165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Any other duties as maybe assigned from time to time commensurate with the grade.</w:t>
            </w:r>
          </w:p>
          <w:p w:rsidR="00912F64" w:rsidRPr="00912F64" w:rsidRDefault="00912F64" w:rsidP="001F5A52">
            <w:pPr>
              <w:spacing w:before="165" w:after="165"/>
              <w:outlineLvl w:val="4"/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b/>
                <w:bCs/>
                <w:color w:val="252626"/>
                <w:lang w:val="en" w:eastAsia="en-GB"/>
              </w:rPr>
              <w:t>Step Changes include:</w:t>
            </w:r>
          </w:p>
          <w:p w:rsidR="00912F64" w:rsidRPr="00912F64" w:rsidRDefault="00912F64" w:rsidP="001F5A52">
            <w:pPr>
              <w:rPr>
                <w:rFonts w:ascii="Arial" w:eastAsia="Times New Roman" w:hAnsi="Arial" w:cs="Arial"/>
                <w:color w:val="252626"/>
                <w:lang w:val="en" w:eastAsia="en-GB"/>
              </w:rPr>
            </w:pP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1. Being a PI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2. Developing proposals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 xml:space="preserve">3. </w:t>
            </w:r>
            <w:proofErr w:type="gramStart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>Higher level</w:t>
            </w:r>
            <w:proofErr w:type="gramEnd"/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t xml:space="preserve"> publication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4. Talks of strategy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9. Leads governance issues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10. Line management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11. Expected to generate ideas 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12. Leading networks</w:t>
            </w:r>
            <w:r w:rsidRPr="00912F64">
              <w:rPr>
                <w:rFonts w:ascii="Arial" w:eastAsia="Times New Roman" w:hAnsi="Arial" w:cs="Arial"/>
                <w:color w:val="252626"/>
                <w:lang w:val="en" w:eastAsia="en-GB"/>
              </w:rPr>
              <w:br/>
              <w:t>13. Supervising students</w:t>
            </w:r>
          </w:p>
        </w:tc>
      </w:tr>
    </w:tbl>
    <w:p w:rsidR="00D8539E" w:rsidRPr="00912F64" w:rsidRDefault="00D8539E" w:rsidP="001F5A52">
      <w:pPr>
        <w:spacing w:line="240" w:lineRule="auto"/>
        <w:rPr>
          <w:rFonts w:ascii="Arial" w:eastAsia="Times New Roman" w:hAnsi="Arial" w:cs="Arial"/>
          <w:b/>
          <w:bCs/>
          <w:color w:val="252626"/>
          <w:lang w:val="en" w:eastAsia="en-GB"/>
        </w:rPr>
      </w:pPr>
    </w:p>
    <w:sectPr w:rsidR="00D8539E" w:rsidRPr="00912F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64" w:rsidRDefault="00912F64" w:rsidP="00912F64">
      <w:pPr>
        <w:spacing w:after="0" w:line="240" w:lineRule="auto"/>
      </w:pPr>
      <w:r>
        <w:separator/>
      </w:r>
    </w:p>
  </w:endnote>
  <w:endnote w:type="continuationSeparator" w:id="0">
    <w:p w:rsidR="00912F64" w:rsidRDefault="00912F64" w:rsidP="0091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43" w:rsidRDefault="00886343">
    <w:pPr>
      <w:pStyle w:val="Footer"/>
    </w:pPr>
    <w:r>
      <w:t>Research Innovation Services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64" w:rsidRDefault="00912F64" w:rsidP="00912F64">
      <w:pPr>
        <w:spacing w:after="0" w:line="240" w:lineRule="auto"/>
      </w:pPr>
      <w:r>
        <w:separator/>
      </w:r>
    </w:p>
  </w:footnote>
  <w:footnote w:type="continuationSeparator" w:id="0">
    <w:p w:rsidR="00912F64" w:rsidRDefault="00912F64" w:rsidP="0091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64" w:rsidRPr="00912F64" w:rsidRDefault="00912F64" w:rsidP="00912F64">
    <w:pPr>
      <w:spacing w:before="225" w:after="165" w:line="288" w:lineRule="atLeast"/>
      <w:jc w:val="center"/>
      <w:outlineLvl w:val="0"/>
      <w:rPr>
        <w:rFonts w:ascii="Arial Black" w:eastAsia="Times New Roman" w:hAnsi="Arial Black" w:cs="Arial"/>
        <w:b/>
        <w:bCs/>
        <w:color w:val="252626"/>
        <w:kern w:val="36"/>
        <w:sz w:val="24"/>
        <w:szCs w:val="24"/>
        <w:lang w:val="en" w:eastAsia="en-GB"/>
      </w:rPr>
    </w:pPr>
    <w:r w:rsidRPr="00912F64">
      <w:rPr>
        <w:rFonts w:ascii="Arial Black" w:eastAsia="Times New Roman" w:hAnsi="Arial Black" w:cs="Arial"/>
        <w:b/>
        <w:bCs/>
        <w:color w:val="252626"/>
        <w:kern w:val="36"/>
        <w:sz w:val="24"/>
        <w:szCs w:val="24"/>
        <w:lang w:val="en" w:eastAsia="en-GB"/>
      </w:rPr>
      <w:t>Recruitment &amp; Selection</w:t>
    </w:r>
  </w:p>
  <w:p w:rsidR="00912F64" w:rsidRDefault="00912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A543E"/>
    <w:multiLevelType w:val="multilevel"/>
    <w:tmpl w:val="298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454AA"/>
    <w:multiLevelType w:val="multilevel"/>
    <w:tmpl w:val="A304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13B4E"/>
    <w:multiLevelType w:val="multilevel"/>
    <w:tmpl w:val="D202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4417D"/>
    <w:multiLevelType w:val="multilevel"/>
    <w:tmpl w:val="42D0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56C90"/>
    <w:multiLevelType w:val="multilevel"/>
    <w:tmpl w:val="426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FC"/>
    <w:rsid w:val="001648DA"/>
    <w:rsid w:val="001F5A52"/>
    <w:rsid w:val="00561B65"/>
    <w:rsid w:val="005C31FC"/>
    <w:rsid w:val="007D2B16"/>
    <w:rsid w:val="00886343"/>
    <w:rsid w:val="00912F64"/>
    <w:rsid w:val="00997768"/>
    <w:rsid w:val="00B35A70"/>
    <w:rsid w:val="00B468B1"/>
    <w:rsid w:val="00D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B12E2-83BB-4897-8387-43CE5B47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1FC"/>
    <w:pPr>
      <w:spacing w:before="225" w:after="165" w:line="288" w:lineRule="atLeast"/>
      <w:outlineLvl w:val="0"/>
    </w:pPr>
    <w:rPr>
      <w:rFonts w:ascii="inherit" w:eastAsia="Times New Roman" w:hAnsi="inherit" w:cs="Times New Roman"/>
      <w:b/>
      <w:bCs/>
      <w:kern w:val="36"/>
      <w:sz w:val="62"/>
      <w:szCs w:val="6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1FC"/>
    <w:rPr>
      <w:rFonts w:ascii="inherit" w:eastAsia="Times New Roman" w:hAnsi="inherit" w:cs="Times New Roman"/>
      <w:b/>
      <w:bCs/>
      <w:kern w:val="36"/>
      <w:sz w:val="62"/>
      <w:szCs w:val="62"/>
      <w:lang w:eastAsia="en-GB"/>
    </w:rPr>
  </w:style>
  <w:style w:type="character" w:styleId="Hyperlink">
    <w:name w:val="Hyperlink"/>
    <w:basedOn w:val="DefaultParagraphFont"/>
    <w:uiPriority w:val="99"/>
    <w:unhideWhenUsed/>
    <w:rsid w:val="005C31FC"/>
    <w:rPr>
      <w:strike w:val="0"/>
      <w:dstrike w:val="0"/>
      <w:color w:val="4F90C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C31FC"/>
    <w:pPr>
      <w:spacing w:after="165" w:line="312" w:lineRule="atLeast"/>
    </w:pPr>
    <w:rPr>
      <w:rFonts w:ascii="inherit" w:eastAsia="Times New Roman" w:hAnsi="inherit" w:cs="Times New Roman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64"/>
  </w:style>
  <w:style w:type="paragraph" w:styleId="Footer">
    <w:name w:val="footer"/>
    <w:basedOn w:val="Normal"/>
    <w:link w:val="FooterChar"/>
    <w:uiPriority w:val="99"/>
    <w:unhideWhenUsed/>
    <w:rsid w:val="00912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64"/>
  </w:style>
  <w:style w:type="table" w:styleId="TableGrid">
    <w:name w:val="Table Grid"/>
    <w:basedOn w:val="TableNormal"/>
    <w:uiPriority w:val="39"/>
    <w:rsid w:val="0091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4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3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8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versityofsouthwales.sharepoint.com/sites/humanresources2/sitepages/en-gb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Rowles</dc:creator>
  <cp:keywords/>
  <dc:description/>
  <cp:lastModifiedBy>Michelle Evans</cp:lastModifiedBy>
  <cp:revision>10</cp:revision>
  <dcterms:created xsi:type="dcterms:W3CDTF">2019-12-11T11:33:00Z</dcterms:created>
  <dcterms:modified xsi:type="dcterms:W3CDTF">2019-12-11T13:36:00Z</dcterms:modified>
</cp:coreProperties>
</file>